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2653DC7"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EE47FB" w:rsidRPr="00020ADC">
        <w:rPr>
          <w:szCs w:val="24"/>
        </w:rPr>
        <w:t>116bis</w:t>
      </w:r>
      <w:r w:rsidRPr="00020ADC">
        <w:rPr>
          <w:szCs w:val="24"/>
        </w:rPr>
        <w:tab/>
      </w:r>
      <w:r w:rsidR="0034558C" w:rsidRPr="00B37914">
        <w:rPr>
          <w:sz w:val="28"/>
          <w:szCs w:val="28"/>
        </w:rPr>
        <w:t>R4-2514122</w:t>
      </w:r>
    </w:p>
    <w:p w14:paraId="3086AC07" w14:textId="6816EAC6" w:rsidR="00E90E49" w:rsidRPr="00020ADC" w:rsidRDefault="00EE47FB" w:rsidP="00A435AC">
      <w:pPr>
        <w:pStyle w:val="3GPPHeader"/>
        <w:rPr>
          <w:szCs w:val="24"/>
        </w:rPr>
      </w:pPr>
      <w:r w:rsidRPr="00020ADC">
        <w:rPr>
          <w:szCs w:val="24"/>
        </w:rPr>
        <w:t>Prague</w:t>
      </w:r>
      <w:r w:rsidR="0027144F" w:rsidRPr="00020ADC">
        <w:rPr>
          <w:szCs w:val="24"/>
        </w:rPr>
        <w:t xml:space="preserve">, </w:t>
      </w:r>
      <w:r w:rsidRPr="00020ADC">
        <w:rPr>
          <w:szCs w:val="24"/>
        </w:rPr>
        <w:t>C</w:t>
      </w:r>
      <w:r w:rsidR="002515E5" w:rsidRPr="00020ADC">
        <w:rPr>
          <w:szCs w:val="24"/>
        </w:rPr>
        <w:t>Z</w:t>
      </w:r>
      <w:r w:rsidR="0027144F" w:rsidRPr="00020ADC">
        <w:rPr>
          <w:szCs w:val="24"/>
        </w:rPr>
        <w:t xml:space="preserve">, </w:t>
      </w:r>
      <w:r w:rsidRPr="00020ADC">
        <w:rPr>
          <w:szCs w:val="24"/>
        </w:rPr>
        <w:t>13</w:t>
      </w:r>
      <w:r w:rsidR="001D53E7" w:rsidRPr="00020ADC">
        <w:rPr>
          <w:szCs w:val="24"/>
        </w:rPr>
        <w:t xml:space="preserve"> – </w:t>
      </w:r>
      <w:r w:rsidRPr="00020ADC">
        <w:rPr>
          <w:szCs w:val="24"/>
        </w:rPr>
        <w:t>17</w:t>
      </w:r>
      <w:r w:rsidR="00C37CB2" w:rsidRPr="00020ADC">
        <w:rPr>
          <w:szCs w:val="24"/>
        </w:rPr>
        <w:t xml:space="preserve"> </w:t>
      </w:r>
      <w:r w:rsidR="000B5FC7" w:rsidRPr="00020ADC">
        <w:rPr>
          <w:szCs w:val="24"/>
        </w:rPr>
        <w:t xml:space="preserve">October </w:t>
      </w:r>
      <w:r w:rsidR="0027144F" w:rsidRPr="00020ADC">
        <w:rPr>
          <w:szCs w:val="24"/>
        </w:rPr>
        <w:t>20</w:t>
      </w:r>
      <w:r w:rsidRPr="00020ADC">
        <w:rPr>
          <w:szCs w:val="24"/>
        </w:rPr>
        <w:t>25</w:t>
      </w:r>
    </w:p>
    <w:p w14:paraId="3982483C" w14:textId="1BD4E71F" w:rsidR="00E90E49" w:rsidRPr="00020ADC" w:rsidRDefault="00E90E49" w:rsidP="00D26BA9">
      <w:pPr>
        <w:pStyle w:val="3GPPHeader"/>
        <w:spacing w:after="0" w:line="360" w:lineRule="auto"/>
        <w:rPr>
          <w:szCs w:val="24"/>
        </w:rPr>
      </w:pPr>
      <w:r w:rsidRPr="00020ADC">
        <w:rPr>
          <w:szCs w:val="24"/>
        </w:rPr>
        <w:t>Agenda Item:</w:t>
      </w:r>
      <w:r w:rsidRPr="00020ADC">
        <w:rPr>
          <w:szCs w:val="24"/>
        </w:rPr>
        <w:tab/>
      </w:r>
      <w:r w:rsidR="0018569D" w:rsidRPr="00020ADC">
        <w:rPr>
          <w:szCs w:val="24"/>
        </w:rPr>
        <w:t>7.12.</w:t>
      </w:r>
      <w:r w:rsidR="00656D0D" w:rsidRPr="00020ADC">
        <w:rPr>
          <w:szCs w:val="24"/>
        </w:rPr>
        <w:t>4</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7A38A503"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984188" w:rsidRPr="00020ADC">
        <w:rPr>
          <w:szCs w:val="24"/>
        </w:rPr>
        <w:t xml:space="preserve">On requirements for </w:t>
      </w:r>
      <w:r w:rsidR="00656D0D" w:rsidRPr="00020ADC">
        <w:rPr>
          <w:szCs w:val="24"/>
        </w:rPr>
        <w:t>event</w:t>
      </w:r>
      <w:r w:rsidR="00984188" w:rsidRPr="00020ADC">
        <w:rPr>
          <w:szCs w:val="24"/>
        </w:rPr>
        <w:t xml:space="preserve"> prediction</w:t>
      </w:r>
    </w:p>
    <w:p w14:paraId="2D5672ED" w14:textId="1B31612A"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D26BA9" w:rsidRPr="00020ADC">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4ADE4C50" w14:textId="718A3DAE" w:rsidR="00E12512" w:rsidRDefault="00C811D8" w:rsidP="005221E9">
      <w:pPr>
        <w:rPr>
          <w:lang w:eastAsia="ja-JP"/>
        </w:rPr>
      </w:pPr>
      <w:r w:rsidRPr="00BA10E0">
        <w:rPr>
          <w:lang w:eastAsia="ja-JP"/>
        </w:rPr>
        <w:t xml:space="preserve">The WID for AI/ML aided mobility concerns scenarios where the AI/ML model for RRM </w:t>
      </w:r>
      <w:r w:rsidR="00656D0D">
        <w:rPr>
          <w:lang w:eastAsia="ja-JP"/>
        </w:rPr>
        <w:t>event</w:t>
      </w:r>
      <w:r w:rsidRPr="00BA10E0">
        <w:rPr>
          <w:lang w:eastAsia="ja-JP"/>
        </w:rPr>
        <w:t xml:space="preserve"> prediction is deployed at UE.</w:t>
      </w:r>
      <w:r w:rsidR="00656D0D">
        <w:rPr>
          <w:lang w:eastAsia="ja-JP"/>
        </w:rPr>
        <w:t xml:space="preserve"> For event prediction both indirect event prediction and direct event prediction are within the scope of </w:t>
      </w:r>
      <w:r w:rsidR="00A131BF">
        <w:rPr>
          <w:lang w:eastAsia="ja-JP"/>
        </w:rPr>
        <w:t>WI,</w:t>
      </w:r>
      <w:r w:rsidR="00656D0D">
        <w:rPr>
          <w:lang w:eastAsia="ja-JP"/>
        </w:rPr>
        <w:t xml:space="preserve"> and the following objectives are identified for RAN4 [1].</w:t>
      </w:r>
    </w:p>
    <w:p w14:paraId="751ABF87" w14:textId="77777777" w:rsidR="00656D0D" w:rsidRPr="00656D0D" w:rsidRDefault="00656D0D" w:rsidP="00A131BF">
      <w:pPr>
        <w:spacing w:after="120" w:line="240" w:lineRule="auto"/>
        <w:rPr>
          <w:rFonts w:eastAsia="MS Mincho"/>
          <w:bCs/>
          <w:i/>
          <w:iCs/>
        </w:rPr>
      </w:pPr>
      <w:r w:rsidRPr="00656D0D">
        <w:rPr>
          <w:rFonts w:eastAsia="MS Mincho"/>
          <w:bCs/>
          <w:i/>
          <w:iCs/>
        </w:rPr>
        <w:t>For both RRM measurement prediction and measurement event prediction</w:t>
      </w:r>
      <w:r w:rsidRPr="00656D0D">
        <w:rPr>
          <w:rFonts w:eastAsia="MS Mincho" w:hint="eastAsia"/>
          <w:bCs/>
          <w:i/>
          <w:iCs/>
        </w:rPr>
        <w:t xml:space="preserve"> </w:t>
      </w:r>
      <w:r w:rsidRPr="00656D0D">
        <w:rPr>
          <w:rFonts w:hint="eastAsia"/>
          <w:bCs/>
          <w:i/>
          <w:iCs/>
          <w:lang w:eastAsia="zh-CN"/>
        </w:rPr>
        <w:t xml:space="preserve">for UE sided model </w:t>
      </w:r>
      <w:r w:rsidRPr="00656D0D">
        <w:rPr>
          <w:rFonts w:eastAsia="MS Mincho" w:hint="eastAsia"/>
          <w:bCs/>
          <w:i/>
          <w:iCs/>
        </w:rPr>
        <w:t>[</w:t>
      </w:r>
      <w:r w:rsidRPr="00656D0D">
        <w:rPr>
          <w:rFonts w:eastAsia="MS Mincho"/>
          <w:bCs/>
          <w:i/>
          <w:iCs/>
        </w:rPr>
        <w:t>RAN4</w:t>
      </w:r>
      <w:r w:rsidRPr="00656D0D">
        <w:rPr>
          <w:rFonts w:eastAsia="MS Mincho" w:hint="eastAsia"/>
          <w:bCs/>
          <w:i/>
          <w:iCs/>
        </w:rPr>
        <w:t>]:</w:t>
      </w:r>
    </w:p>
    <w:p w14:paraId="1E32A1FE" w14:textId="0625CDD6" w:rsidR="00656D0D" w:rsidRPr="00656D0D" w:rsidRDefault="00656D0D" w:rsidP="00A131BF">
      <w:pPr>
        <w:numPr>
          <w:ilvl w:val="0"/>
          <w:numId w:val="29"/>
        </w:numPr>
        <w:spacing w:after="120" w:line="240" w:lineRule="auto"/>
        <w:rPr>
          <w:bCs/>
          <w:i/>
          <w:iCs/>
        </w:rPr>
      </w:pPr>
      <w:r w:rsidRPr="00656D0D">
        <w:rPr>
          <w:bCs/>
          <w:i/>
          <w:iCs/>
        </w:rPr>
        <w:t>Specify core requirement</w:t>
      </w:r>
      <w:r w:rsidRPr="00656D0D">
        <w:rPr>
          <w:rFonts w:hint="eastAsia"/>
          <w:bCs/>
          <w:i/>
          <w:iCs/>
        </w:rPr>
        <w:t xml:space="preserve">s for the use cases and scenarios supported by the previous objectives </w:t>
      </w:r>
      <w:r w:rsidRPr="00656D0D">
        <w:rPr>
          <w:rFonts w:hint="eastAsia"/>
          <w:bCs/>
          <w:i/>
          <w:iCs/>
          <w:lang w:eastAsia="zh-CN"/>
        </w:rPr>
        <w:t>for RRM measurement prediction and indirect measurement event prediction</w:t>
      </w:r>
    </w:p>
    <w:p w14:paraId="177D622C" w14:textId="5FE17561" w:rsidR="00656D0D" w:rsidRPr="00656D0D" w:rsidRDefault="00656D0D" w:rsidP="0034774D">
      <w:pPr>
        <w:numPr>
          <w:ilvl w:val="1"/>
          <w:numId w:val="29"/>
        </w:numPr>
        <w:spacing w:after="120" w:line="240" w:lineRule="auto"/>
        <w:rPr>
          <w:bCs/>
          <w:i/>
          <w:iCs/>
        </w:rPr>
      </w:pPr>
      <w:r w:rsidRPr="00656D0D">
        <w:rPr>
          <w:rFonts w:hint="eastAsia"/>
          <w:bCs/>
          <w:i/>
          <w:iCs/>
          <w:lang w:eastAsia="zh-CN"/>
        </w:rPr>
        <w:t xml:space="preserve">Note 6: RAN4 is expected to investigate whether the core requirement for RRM measurement prediction can be reused for </w:t>
      </w:r>
      <w:r w:rsidRPr="00656D0D">
        <w:rPr>
          <w:bCs/>
          <w:i/>
          <w:iCs/>
          <w:lang w:eastAsia="zh-CN"/>
        </w:rPr>
        <w:t>indirect</w:t>
      </w:r>
      <w:r w:rsidRPr="00656D0D">
        <w:rPr>
          <w:rFonts w:hint="eastAsia"/>
          <w:bCs/>
          <w:i/>
          <w:iCs/>
          <w:lang w:eastAsia="zh-CN"/>
        </w:rPr>
        <w:t xml:space="preserve"> measurement event prediction</w:t>
      </w:r>
      <w:r w:rsidR="0034774D">
        <w:rPr>
          <w:bCs/>
          <w:i/>
          <w:iCs/>
          <w:lang w:eastAsia="zh-CN"/>
        </w:rPr>
        <w:t>.</w:t>
      </w:r>
    </w:p>
    <w:p w14:paraId="402BDDBE" w14:textId="735634A0" w:rsidR="00656D0D" w:rsidRPr="00656D0D" w:rsidRDefault="00656D0D" w:rsidP="00A131BF">
      <w:pPr>
        <w:numPr>
          <w:ilvl w:val="0"/>
          <w:numId w:val="29"/>
        </w:numPr>
        <w:spacing w:after="120" w:line="240" w:lineRule="auto"/>
        <w:rPr>
          <w:bCs/>
          <w:i/>
          <w:iCs/>
        </w:rPr>
      </w:pPr>
      <w:r w:rsidRPr="00656D0D">
        <w:rPr>
          <w:bCs/>
          <w:i/>
          <w:iCs/>
        </w:rPr>
        <w:t xml:space="preserve">For direct event prediction, study feasibility of </w:t>
      </w:r>
      <w:r w:rsidRPr="00656D0D">
        <w:rPr>
          <w:rFonts w:hint="eastAsia"/>
          <w:bCs/>
          <w:i/>
          <w:iCs/>
          <w:lang w:eastAsia="zh-CN"/>
        </w:rPr>
        <w:t xml:space="preserve">core </w:t>
      </w:r>
      <w:r w:rsidRPr="00656D0D">
        <w:rPr>
          <w:bCs/>
          <w:i/>
          <w:iCs/>
        </w:rPr>
        <w:t>requirement in Q2 2026.</w:t>
      </w:r>
    </w:p>
    <w:p w14:paraId="6DE69EDB" w14:textId="6A8487F1" w:rsidR="00656D0D" w:rsidRPr="00656D0D" w:rsidRDefault="00656D0D" w:rsidP="00A131BF">
      <w:pPr>
        <w:numPr>
          <w:ilvl w:val="0"/>
          <w:numId w:val="29"/>
        </w:numPr>
        <w:spacing w:after="120" w:line="240" w:lineRule="auto"/>
        <w:rPr>
          <w:bCs/>
          <w:i/>
          <w:iCs/>
        </w:rPr>
      </w:pPr>
      <w:r w:rsidRPr="00656D0D">
        <w:rPr>
          <w:bCs/>
          <w:i/>
          <w:iCs/>
        </w:rPr>
        <w:t xml:space="preserve">Specify LCM-related </w:t>
      </w:r>
      <w:r w:rsidRPr="00656D0D">
        <w:rPr>
          <w:rFonts w:hint="eastAsia"/>
          <w:bCs/>
          <w:i/>
          <w:iCs/>
        </w:rPr>
        <w:t xml:space="preserve">core </w:t>
      </w:r>
      <w:r w:rsidRPr="00656D0D">
        <w:rPr>
          <w:bCs/>
          <w:i/>
          <w:iCs/>
        </w:rPr>
        <w:t>requirements</w:t>
      </w:r>
      <w:r w:rsidRPr="00656D0D">
        <w:rPr>
          <w:rFonts w:hint="eastAsia"/>
          <w:bCs/>
          <w:i/>
          <w:iCs/>
        </w:rPr>
        <w:t xml:space="preserve"> to support the LCM functionality management </w:t>
      </w:r>
      <w:r w:rsidRPr="00656D0D">
        <w:rPr>
          <w:bCs/>
          <w:i/>
          <w:iCs/>
        </w:rPr>
        <w:t>, if any</w:t>
      </w:r>
    </w:p>
    <w:p w14:paraId="6F88527C" w14:textId="5542256C" w:rsidR="00656D0D" w:rsidRPr="00656D0D" w:rsidRDefault="00656D0D" w:rsidP="00A131BF">
      <w:pPr>
        <w:rPr>
          <w:i/>
          <w:iCs/>
        </w:rPr>
      </w:pPr>
      <w:r w:rsidRPr="00656D0D">
        <w:rPr>
          <w:rFonts w:hint="eastAsia"/>
          <w:bCs/>
          <w:i/>
          <w:iCs/>
          <w:lang w:eastAsia="zh-CN"/>
        </w:rPr>
        <w:t xml:space="preserve">Note 7: Can check in </w:t>
      </w:r>
      <w:r w:rsidRPr="00656D0D">
        <w:rPr>
          <w:bCs/>
          <w:i/>
          <w:iCs/>
          <w:lang w:eastAsia="zh-CN"/>
        </w:rPr>
        <w:t>RAN#112</w:t>
      </w:r>
      <w:r w:rsidRPr="00656D0D">
        <w:rPr>
          <w:rFonts w:hint="eastAsia"/>
          <w:bCs/>
          <w:i/>
          <w:iCs/>
          <w:lang w:eastAsia="zh-CN"/>
        </w:rPr>
        <w:t xml:space="preserve"> </w:t>
      </w:r>
      <w:r w:rsidRPr="00656D0D">
        <w:rPr>
          <w:bCs/>
          <w:i/>
          <w:iCs/>
          <w:lang w:eastAsia="zh-CN"/>
        </w:rPr>
        <w:t xml:space="preserve">whether direct event prediction </w:t>
      </w:r>
      <w:r w:rsidRPr="00656D0D">
        <w:rPr>
          <w:rFonts w:hint="eastAsia"/>
          <w:bCs/>
          <w:i/>
          <w:iCs/>
          <w:lang w:eastAsia="zh-CN"/>
        </w:rPr>
        <w:t>can</w:t>
      </w:r>
      <w:r w:rsidRPr="00656D0D">
        <w:rPr>
          <w:bCs/>
          <w:i/>
          <w:iCs/>
          <w:lang w:eastAsia="zh-CN"/>
        </w:rPr>
        <w:t xml:space="preserve"> be supported depending on RAN2 and RAN4 conclusions.</w:t>
      </w:r>
    </w:p>
    <w:p w14:paraId="6041020E" w14:textId="7164BF55" w:rsidR="00764610" w:rsidRDefault="00764610" w:rsidP="00764610">
      <w:pPr>
        <w:pStyle w:val="Heading1"/>
        <w:rPr>
          <w:lang w:val="en-US"/>
        </w:rPr>
      </w:pPr>
      <w:r w:rsidRPr="00BA10E0">
        <w:rPr>
          <w:lang w:val="en-US"/>
        </w:rPr>
        <w:t>Discussion</w:t>
      </w:r>
    </w:p>
    <w:p w14:paraId="0C17998F" w14:textId="0076E0FD" w:rsidR="0034774D" w:rsidRDefault="00B20E5B" w:rsidP="0034774D">
      <w:pPr>
        <w:rPr>
          <w:lang w:eastAsia="ja-JP"/>
        </w:rPr>
      </w:pPr>
      <w:r>
        <w:rPr>
          <w:lang w:eastAsia="ja-JP"/>
        </w:rPr>
        <w:t xml:space="preserve">According to the objectives for RAN4, RAN4 is expected to investigate whether the core requirement for RRM measurement prediction can be reused for indirect event prediction and to study the feasibility of </w:t>
      </w:r>
      <w:r w:rsidR="00206C17">
        <w:rPr>
          <w:lang w:eastAsia="ja-JP"/>
        </w:rPr>
        <w:t xml:space="preserve">defining </w:t>
      </w:r>
      <w:r>
        <w:rPr>
          <w:lang w:eastAsia="ja-JP"/>
        </w:rPr>
        <w:t>core requirement</w:t>
      </w:r>
      <w:r w:rsidR="00206C17">
        <w:rPr>
          <w:lang w:eastAsia="ja-JP"/>
        </w:rPr>
        <w:t xml:space="preserve"> for direct event prediction in </w:t>
      </w:r>
      <w:r>
        <w:rPr>
          <w:lang w:eastAsia="ja-JP"/>
        </w:rPr>
        <w:t>Q2 2026.</w:t>
      </w:r>
      <w:r w:rsidR="006F00A9">
        <w:rPr>
          <w:lang w:eastAsia="ja-JP"/>
        </w:rPr>
        <w:br/>
      </w:r>
    </w:p>
    <w:p w14:paraId="1A433F4E" w14:textId="00EAE61D" w:rsidR="00206C17" w:rsidRDefault="00206C17" w:rsidP="00206C17">
      <w:pPr>
        <w:pStyle w:val="ObservationText"/>
      </w:pPr>
      <w:r>
        <w:t>RAN4 is expected to investigate whether the core requirement for RRM measurement prediction can be reused for indirect event prediction.</w:t>
      </w:r>
      <w:r w:rsidR="00142022">
        <w:br/>
      </w:r>
    </w:p>
    <w:p w14:paraId="2D13E8F2" w14:textId="0A1B11BA" w:rsidR="00206C17" w:rsidRDefault="00206C17" w:rsidP="00206C17">
      <w:pPr>
        <w:pStyle w:val="Observation"/>
      </w:pPr>
      <w:r>
        <w:t>RAN4 to study feasibility of defining core requirement for direct event prediction in Q2 2026.</w:t>
      </w:r>
    </w:p>
    <w:p w14:paraId="7A1DE0E2" w14:textId="77777777" w:rsidR="00206C17" w:rsidRDefault="00206C17" w:rsidP="00206C17">
      <w:pPr>
        <w:pStyle w:val="Observation"/>
        <w:numPr>
          <w:ilvl w:val="0"/>
          <w:numId w:val="0"/>
        </w:numPr>
        <w:ind w:left="1701" w:hanging="1701"/>
      </w:pPr>
    </w:p>
    <w:p w14:paraId="47264345" w14:textId="58566E55" w:rsidR="003338AF" w:rsidRDefault="006F00A9" w:rsidP="006F00A9">
      <w:r>
        <w:t>Snippets of events A1</w:t>
      </w:r>
      <w:r>
        <w:rPr>
          <w:rFonts w:ascii="Cambria Math" w:eastAsia="Cambria Math" w:hAnsi="Cambria Math" w:hint="eastAsia"/>
          <w:lang w:eastAsia="ko-KR"/>
        </w:rPr>
        <w:t>∼</w:t>
      </w:r>
      <w:r w:rsidRPr="006F00A9">
        <w:t>A6</w:t>
      </w:r>
      <w:r>
        <w:t xml:space="preserve"> that are within the scope of the WI are provided in </w:t>
      </w:r>
      <w:r>
        <w:fldChar w:fldCharType="begin"/>
      </w:r>
      <w:r>
        <w:instrText xml:space="preserve"> REF _Ref210380088 \h </w:instrText>
      </w:r>
      <w:r>
        <w:fldChar w:fldCharType="separate"/>
      </w:r>
      <w:r>
        <w:t xml:space="preserve">Table </w:t>
      </w:r>
      <w:r>
        <w:rPr>
          <w:noProof/>
        </w:rPr>
        <w:t>1</w:t>
      </w:r>
      <w:r>
        <w:fldChar w:fldCharType="end"/>
      </w:r>
      <w:r>
        <w:t>.</w:t>
      </w:r>
      <w:r w:rsidR="00BF3A67">
        <w:t xml:space="preserve"> For </w:t>
      </w:r>
      <w:r w:rsidR="00AE7D76">
        <w:t xml:space="preserve">detection of </w:t>
      </w:r>
      <w:r w:rsidR="00BF3A67">
        <w:t>all these events</w:t>
      </w:r>
      <w:r w:rsidR="00AE7D76">
        <w:t>,</w:t>
      </w:r>
      <w:r w:rsidR="00BF3A67">
        <w:t xml:space="preserve"> predicted RRM measurements can be used provided</w:t>
      </w:r>
      <w:r w:rsidR="00F177B7">
        <w:t xml:space="preserve"> that</w:t>
      </w:r>
      <w:r w:rsidR="00BF3A67">
        <w:t xml:space="preserve"> the </w:t>
      </w:r>
      <w:r w:rsidR="00F177B7">
        <w:t xml:space="preserve">predicted </w:t>
      </w:r>
      <w:r w:rsidR="00BF3A67">
        <w:t xml:space="preserve">RRM measurements are reliable and accurate. Since the predicted RRM measurements are used to </w:t>
      </w:r>
      <w:r w:rsidR="00F177B7">
        <w:t xml:space="preserve">predict </w:t>
      </w:r>
      <w:r w:rsidR="00BF3A67">
        <w:t>event</w:t>
      </w:r>
      <w:r w:rsidR="00F177B7">
        <w:t>(s)</w:t>
      </w:r>
      <w:r w:rsidR="00BF3A67">
        <w:t xml:space="preserve"> in indirect event prediction, we do not see an</w:t>
      </w:r>
      <w:r w:rsidR="00F177B7">
        <w:t>y</w:t>
      </w:r>
      <w:r w:rsidR="00BF3A67">
        <w:t xml:space="preserve"> issue </w:t>
      </w:r>
      <w:r w:rsidR="00F177B7">
        <w:t>on</w:t>
      </w:r>
      <w:r w:rsidR="00BF3A67">
        <w:t xml:space="preserve"> reus</w:t>
      </w:r>
      <w:r w:rsidR="00F177B7">
        <w:t>ing</w:t>
      </w:r>
      <w:r w:rsidR="00BF3A67">
        <w:t xml:space="preserve"> both core and performance requirements</w:t>
      </w:r>
      <w:r w:rsidR="00F177B7">
        <w:t xml:space="preserve"> </w:t>
      </w:r>
      <w:r w:rsidR="00BF3A67">
        <w:t>for RRM measurement prediction for indirect event prediction use case.</w:t>
      </w:r>
      <w:r w:rsidR="00F177B7">
        <w:t xml:space="preserve"> This </w:t>
      </w:r>
      <w:r w:rsidR="009A3970">
        <w:t xml:space="preserve">approach </w:t>
      </w:r>
      <w:r w:rsidR="00F177B7">
        <w:t>is also aligned with event detection for non-AI/ML mobility.</w:t>
      </w:r>
      <w:r w:rsidR="003338AF">
        <w:br/>
      </w:r>
    </w:p>
    <w:p w14:paraId="3F281F2E" w14:textId="00EB71F2" w:rsidR="006F00A9" w:rsidRDefault="003338AF" w:rsidP="003338AF">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 enough.</w:t>
      </w:r>
      <w:r>
        <w:br/>
      </w:r>
    </w:p>
    <w:p w14:paraId="53C3EB76" w14:textId="4DC45B32" w:rsidR="006F00A9" w:rsidRDefault="003338AF" w:rsidP="003338AF">
      <w:pPr>
        <w:pStyle w:val="Proposal"/>
      </w:pPr>
      <w:bookmarkStart w:id="0" w:name="_Toc210382757"/>
      <w:r>
        <w:lastRenderedPageBreak/>
        <w:t>RAN4 to reuse core requirement for RRM measurement prediction for indirect event prediction use case.</w:t>
      </w:r>
      <w:bookmarkEnd w:id="0"/>
      <w:r>
        <w:t xml:space="preserve"> </w:t>
      </w:r>
    </w:p>
    <w:p w14:paraId="0329F89F" w14:textId="22159577" w:rsidR="006F00A9" w:rsidRDefault="006F00A9" w:rsidP="00A72DDB">
      <w:pPr>
        <w:pStyle w:val="Caption"/>
        <w:keepNext/>
        <w:jc w:val="center"/>
      </w:pPr>
      <w:bookmarkStart w:id="1" w:name="_Ref210380088"/>
      <w:r>
        <w:t xml:space="preserve">Table </w:t>
      </w:r>
      <w:r>
        <w:fldChar w:fldCharType="begin"/>
      </w:r>
      <w:r>
        <w:instrText xml:space="preserve"> SEQ Table \* ARABIC </w:instrText>
      </w:r>
      <w:r>
        <w:fldChar w:fldCharType="separate"/>
      </w:r>
      <w:r>
        <w:rPr>
          <w:noProof/>
        </w:rPr>
        <w:t>1</w:t>
      </w:r>
      <w:r>
        <w:fldChar w:fldCharType="end"/>
      </w:r>
      <w:bookmarkEnd w:id="1"/>
      <w:r>
        <w:t>. Events and corresponding triggering conditions.</w:t>
      </w:r>
    </w:p>
    <w:tbl>
      <w:tblPr>
        <w:tblStyle w:val="TableGrid"/>
        <w:tblW w:w="0" w:type="auto"/>
        <w:jc w:val="center"/>
        <w:tblLook w:val="04A0" w:firstRow="1" w:lastRow="0" w:firstColumn="1" w:lastColumn="0" w:noHBand="0" w:noVBand="1"/>
      </w:tblPr>
      <w:tblGrid>
        <w:gridCol w:w="988"/>
        <w:gridCol w:w="5528"/>
      </w:tblGrid>
      <w:tr w:rsidR="006F00A9" w14:paraId="21E3E5AD" w14:textId="77777777" w:rsidTr="00A72DDB">
        <w:trPr>
          <w:jc w:val="center"/>
        </w:trPr>
        <w:tc>
          <w:tcPr>
            <w:tcW w:w="988" w:type="dxa"/>
          </w:tcPr>
          <w:p w14:paraId="587EEA5A" w14:textId="5A0EA780" w:rsidR="006F00A9" w:rsidRPr="006F00A9" w:rsidRDefault="006F00A9" w:rsidP="00A72DDB">
            <w:pPr>
              <w:jc w:val="center"/>
              <w:rPr>
                <w:b/>
                <w:bCs/>
              </w:rPr>
            </w:pPr>
            <w:r w:rsidRPr="006F00A9">
              <w:rPr>
                <w:b/>
                <w:bCs/>
              </w:rPr>
              <w:t>Event</w:t>
            </w:r>
          </w:p>
        </w:tc>
        <w:tc>
          <w:tcPr>
            <w:tcW w:w="5528" w:type="dxa"/>
          </w:tcPr>
          <w:p w14:paraId="17F15F5B" w14:textId="40EBCF07" w:rsidR="006F00A9" w:rsidRPr="006F00A9" w:rsidRDefault="006F00A9" w:rsidP="00A72DDB">
            <w:pPr>
              <w:jc w:val="left"/>
              <w:rPr>
                <w:b/>
                <w:bCs/>
              </w:rPr>
            </w:pPr>
            <w:r w:rsidRPr="006F00A9">
              <w:rPr>
                <w:b/>
                <w:bCs/>
              </w:rPr>
              <w:t>Trigger</w:t>
            </w:r>
            <w:r w:rsidR="00DE1A81">
              <w:rPr>
                <w:b/>
                <w:bCs/>
              </w:rPr>
              <w:t>ing</w:t>
            </w:r>
            <w:r w:rsidRPr="006F00A9">
              <w:rPr>
                <w:b/>
                <w:bCs/>
              </w:rPr>
              <w:t xml:space="preserve"> condition</w:t>
            </w:r>
            <w:r w:rsidR="00DE1A81">
              <w:rPr>
                <w:b/>
                <w:bCs/>
              </w:rPr>
              <w:t>(s)</w:t>
            </w:r>
          </w:p>
        </w:tc>
      </w:tr>
      <w:tr w:rsidR="006F00A9" w14:paraId="1CC3DE5D" w14:textId="77777777" w:rsidTr="00A72DDB">
        <w:trPr>
          <w:jc w:val="center"/>
        </w:trPr>
        <w:tc>
          <w:tcPr>
            <w:tcW w:w="988" w:type="dxa"/>
          </w:tcPr>
          <w:p w14:paraId="1B535197" w14:textId="3AD35EF1" w:rsidR="006F00A9" w:rsidRDefault="006F00A9" w:rsidP="00A72DDB">
            <w:pPr>
              <w:jc w:val="center"/>
            </w:pPr>
            <w:r>
              <w:t>A1</w:t>
            </w:r>
          </w:p>
        </w:tc>
        <w:tc>
          <w:tcPr>
            <w:tcW w:w="5528" w:type="dxa"/>
          </w:tcPr>
          <w:p w14:paraId="666DC8F9" w14:textId="0CED6EDD" w:rsidR="006F00A9" w:rsidRDefault="006F00A9" w:rsidP="00A72DDB">
            <w:pPr>
              <w:jc w:val="left"/>
            </w:pPr>
            <w:r w:rsidRPr="006F00A9">
              <w:t>Serving cell becomes better than threshold</w:t>
            </w:r>
            <w:r>
              <w:t>.</w:t>
            </w:r>
          </w:p>
        </w:tc>
      </w:tr>
      <w:tr w:rsidR="006F00A9" w14:paraId="600C0773" w14:textId="77777777" w:rsidTr="00A72DDB">
        <w:trPr>
          <w:jc w:val="center"/>
        </w:trPr>
        <w:tc>
          <w:tcPr>
            <w:tcW w:w="988" w:type="dxa"/>
          </w:tcPr>
          <w:p w14:paraId="2E41B213" w14:textId="72985EDE" w:rsidR="006F00A9" w:rsidRDefault="006F00A9" w:rsidP="00A72DDB">
            <w:pPr>
              <w:jc w:val="center"/>
            </w:pPr>
            <w:r>
              <w:t>A2</w:t>
            </w:r>
          </w:p>
        </w:tc>
        <w:tc>
          <w:tcPr>
            <w:tcW w:w="5528" w:type="dxa"/>
          </w:tcPr>
          <w:p w14:paraId="2959407F" w14:textId="744BA5DC" w:rsidR="006F00A9" w:rsidRPr="006F00A9" w:rsidRDefault="006F00A9" w:rsidP="00A72DDB">
            <w:pPr>
              <w:jc w:val="left"/>
            </w:pPr>
            <w:r>
              <w:t>Serving cell becomes worse than threshold.</w:t>
            </w:r>
          </w:p>
        </w:tc>
      </w:tr>
      <w:tr w:rsidR="006F00A9" w14:paraId="1F284F3B" w14:textId="77777777" w:rsidTr="00A72DDB">
        <w:trPr>
          <w:jc w:val="center"/>
        </w:trPr>
        <w:tc>
          <w:tcPr>
            <w:tcW w:w="988" w:type="dxa"/>
          </w:tcPr>
          <w:p w14:paraId="639E29E8" w14:textId="4ED3E12D" w:rsidR="006F00A9" w:rsidRDefault="006F00A9" w:rsidP="00A72DDB">
            <w:pPr>
              <w:jc w:val="center"/>
            </w:pPr>
            <w:r>
              <w:t>A3</w:t>
            </w:r>
          </w:p>
        </w:tc>
        <w:tc>
          <w:tcPr>
            <w:tcW w:w="5528" w:type="dxa"/>
          </w:tcPr>
          <w:p w14:paraId="45BA825F" w14:textId="3BEF6CF0" w:rsidR="006F00A9" w:rsidRDefault="006F00A9" w:rsidP="00A72DDB">
            <w:pPr>
              <w:jc w:val="left"/>
            </w:pPr>
            <w:r>
              <w:t xml:space="preserve">Neighbor cell becomes offset better than </w:t>
            </w:r>
            <w:r w:rsidR="00FD37E8">
              <w:t>SpC</w:t>
            </w:r>
            <w:r>
              <w:t>ell.</w:t>
            </w:r>
          </w:p>
        </w:tc>
      </w:tr>
      <w:tr w:rsidR="006F00A9" w14:paraId="7358F3E2" w14:textId="77777777" w:rsidTr="00A72DDB">
        <w:trPr>
          <w:jc w:val="center"/>
        </w:trPr>
        <w:tc>
          <w:tcPr>
            <w:tcW w:w="988" w:type="dxa"/>
          </w:tcPr>
          <w:p w14:paraId="15D9E1EA" w14:textId="75F579AC" w:rsidR="006F00A9" w:rsidRDefault="006F00A9" w:rsidP="00A72DDB">
            <w:pPr>
              <w:jc w:val="center"/>
            </w:pPr>
            <w:r>
              <w:t>A4</w:t>
            </w:r>
          </w:p>
        </w:tc>
        <w:tc>
          <w:tcPr>
            <w:tcW w:w="5528" w:type="dxa"/>
          </w:tcPr>
          <w:p w14:paraId="62BC781E" w14:textId="1FC42003" w:rsidR="006F00A9" w:rsidRDefault="006F00A9" w:rsidP="00A72DDB">
            <w:pPr>
              <w:jc w:val="left"/>
            </w:pPr>
            <w:r>
              <w:t>Neighbor cell becomes better than threshold.</w:t>
            </w:r>
          </w:p>
        </w:tc>
      </w:tr>
      <w:tr w:rsidR="006F00A9" w14:paraId="68B95030" w14:textId="77777777" w:rsidTr="00A72DDB">
        <w:trPr>
          <w:jc w:val="center"/>
        </w:trPr>
        <w:tc>
          <w:tcPr>
            <w:tcW w:w="988" w:type="dxa"/>
          </w:tcPr>
          <w:p w14:paraId="1E1427B2" w14:textId="26B08C06" w:rsidR="006F00A9" w:rsidRDefault="006F00A9" w:rsidP="00A72DDB">
            <w:pPr>
              <w:jc w:val="center"/>
            </w:pPr>
            <w:r>
              <w:t>A5</w:t>
            </w:r>
          </w:p>
        </w:tc>
        <w:tc>
          <w:tcPr>
            <w:tcW w:w="5528" w:type="dxa"/>
          </w:tcPr>
          <w:p w14:paraId="06438E5E" w14:textId="10031398" w:rsidR="006F00A9" w:rsidRDefault="006F00A9" w:rsidP="00A72DDB">
            <w:pPr>
              <w:jc w:val="left"/>
            </w:pPr>
            <w:r>
              <w:t>S</w:t>
            </w:r>
            <w:r w:rsidR="00FD37E8">
              <w:t>pC</w:t>
            </w:r>
            <w:r>
              <w:t xml:space="preserve">ell </w:t>
            </w:r>
            <w:r w:rsidR="00FD37E8">
              <w:t xml:space="preserve">becomes </w:t>
            </w:r>
            <w:r>
              <w:t xml:space="preserve">worse than threshold1 </w:t>
            </w:r>
            <w:r w:rsidR="00D4328F" w:rsidRPr="00D4328F">
              <w:rPr>
                <w:rStyle w:val="Strong"/>
                <w:b w:val="0"/>
                <w:bCs w:val="0"/>
              </w:rPr>
              <w:t>and</w:t>
            </w:r>
            <w:r>
              <w:t xml:space="preserve"> neighbor </w:t>
            </w:r>
            <w:r w:rsidR="00A72DDB">
              <w:t xml:space="preserve">cell </w:t>
            </w:r>
            <w:r w:rsidR="00C64668">
              <w:t xml:space="preserve">becomes </w:t>
            </w:r>
            <w:r>
              <w:t>better than threshold2.</w:t>
            </w:r>
          </w:p>
        </w:tc>
      </w:tr>
      <w:tr w:rsidR="006F00A9" w14:paraId="242B40FD" w14:textId="77777777" w:rsidTr="00A72DDB">
        <w:trPr>
          <w:jc w:val="center"/>
        </w:trPr>
        <w:tc>
          <w:tcPr>
            <w:tcW w:w="988" w:type="dxa"/>
          </w:tcPr>
          <w:p w14:paraId="07310738" w14:textId="16FE8E3D" w:rsidR="006F00A9" w:rsidRDefault="006F00A9" w:rsidP="00A72DDB">
            <w:pPr>
              <w:jc w:val="center"/>
            </w:pPr>
            <w:r>
              <w:t>A6</w:t>
            </w:r>
          </w:p>
        </w:tc>
        <w:tc>
          <w:tcPr>
            <w:tcW w:w="5528" w:type="dxa"/>
          </w:tcPr>
          <w:p w14:paraId="7EEEA48A" w14:textId="28436112" w:rsidR="006F00A9" w:rsidRDefault="006F00A9" w:rsidP="00A72DDB">
            <w:pPr>
              <w:jc w:val="left"/>
            </w:pPr>
            <w:r>
              <w:t xml:space="preserve">Neighbor cell becomes </w:t>
            </w:r>
            <w:r w:rsidR="00FD37E8">
              <w:t xml:space="preserve">offset </w:t>
            </w:r>
            <w:r>
              <w:t xml:space="preserve">better than </w:t>
            </w:r>
            <w:r w:rsidR="00FD37E8">
              <w:t>SCell</w:t>
            </w:r>
            <w:r>
              <w:t>.</w:t>
            </w:r>
          </w:p>
        </w:tc>
      </w:tr>
    </w:tbl>
    <w:p w14:paraId="43C47761" w14:textId="571AEDF8" w:rsidR="006F00A9" w:rsidRDefault="006F00A9" w:rsidP="006F00A9">
      <w:r>
        <w:t xml:space="preserve"> </w:t>
      </w:r>
    </w:p>
    <w:p w14:paraId="37EB5693" w14:textId="6918FD05" w:rsidR="00C01F33" w:rsidRDefault="00B74F9D" w:rsidP="00CE0424">
      <w:pPr>
        <w:pStyle w:val="Heading1"/>
        <w:rPr>
          <w:lang w:val="en-US"/>
        </w:rPr>
      </w:pPr>
      <w:r>
        <w:rPr>
          <w:lang w:val="en-US"/>
        </w:rPr>
        <w:t>Summary</w:t>
      </w:r>
    </w:p>
    <w:p w14:paraId="2F5C4B62" w14:textId="70727812" w:rsidR="00B74F9D" w:rsidRDefault="00AD7FDE" w:rsidP="00B74F9D">
      <w:pPr>
        <w:rPr>
          <w:lang w:eastAsia="ja-JP"/>
        </w:rPr>
      </w:pPr>
      <w:bookmarkStart w:id="2" w:name="_In-sequence_SDU_delivery"/>
      <w:bookmarkEnd w:id="2"/>
      <w:r>
        <w:rPr>
          <w:lang w:eastAsia="ja-JP"/>
        </w:rPr>
        <w:t>In this contribution indirect event prediction for AI/ML aided mobility is discussed</w:t>
      </w:r>
      <w:r w:rsidR="00685BAA">
        <w:rPr>
          <w:lang w:eastAsia="ja-JP"/>
        </w:rPr>
        <w:t>.</w:t>
      </w:r>
      <w:r>
        <w:rPr>
          <w:lang w:eastAsia="ja-JP"/>
        </w:rPr>
        <w:t xml:space="preserve"> The observations and proposal below summarize the discussion presented in this paper.</w:t>
      </w:r>
      <w:r>
        <w:rPr>
          <w:lang w:eastAsia="ja-JP"/>
        </w:rPr>
        <w:br/>
      </w:r>
    </w:p>
    <w:p w14:paraId="5AFF9A47" w14:textId="0049A88C" w:rsidR="00AD7FDE" w:rsidRDefault="00AD7FDE" w:rsidP="00F079E5">
      <w:pPr>
        <w:pStyle w:val="Observation"/>
        <w:numPr>
          <w:ilvl w:val="0"/>
          <w:numId w:val="31"/>
        </w:numPr>
        <w:ind w:left="1701" w:hanging="1701"/>
      </w:pPr>
      <w:r>
        <w:t>RAN4 is expected to investigate whether the core requirement for RRM measurement prediction can be reused for indirect event prediction.</w:t>
      </w:r>
      <w:r>
        <w:br/>
      </w:r>
    </w:p>
    <w:p w14:paraId="1ACE8F8E" w14:textId="24D3B48A" w:rsidR="00AD7FDE" w:rsidRDefault="00AD7FDE" w:rsidP="00AD7FDE">
      <w:pPr>
        <w:pStyle w:val="Observation"/>
      </w:pPr>
      <w:r>
        <w:t>RAN4 to study feasibility of defining core requirement for direct event prediction in Q2 2026.</w:t>
      </w:r>
      <w:r>
        <w:br/>
      </w:r>
    </w:p>
    <w:p w14:paraId="5A560628" w14:textId="313702B3" w:rsidR="00AD7FDE" w:rsidRDefault="00AD7FDE" w:rsidP="00AD7FDE">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 enough.</w:t>
      </w:r>
    </w:p>
    <w:p w14:paraId="2569EF27" w14:textId="77777777" w:rsidR="00685BAA" w:rsidRPr="00B74F9D" w:rsidRDefault="00685BAA" w:rsidP="00E33553">
      <w:pPr>
        <w:rPr>
          <w:lang w:eastAsia="ja-JP"/>
        </w:rPr>
      </w:pPr>
    </w:p>
    <w:p w14:paraId="747C743C" w14:textId="78A55D94" w:rsidR="006E1C82" w:rsidRPr="00BA10E0" w:rsidRDefault="006E1C82" w:rsidP="00AD7FDE">
      <w:pPr>
        <w:pStyle w:val="TableofFigures"/>
        <w:tabs>
          <w:tab w:val="right" w:leader="dot" w:pos="9629"/>
        </w:tabs>
        <w:jc w:val="both"/>
        <w:rPr>
          <w:b w:val="0"/>
          <w:bCs/>
        </w:rPr>
      </w:pPr>
      <w:r w:rsidRPr="00835622">
        <w:rPr>
          <w:b w:val="0"/>
          <w:bCs/>
          <w:highlight w:val="green"/>
        </w:rPr>
        <w:fldChar w:fldCharType="begin"/>
      </w:r>
      <w:r w:rsidRPr="00835622">
        <w:rPr>
          <w:b w:val="0"/>
          <w:bCs/>
          <w:highlight w:val="green"/>
        </w:rPr>
        <w:instrText xml:space="preserve"> TOC \n \h \z \t "Proposal" \c </w:instrText>
      </w:r>
      <w:r w:rsidRPr="00835622">
        <w:rPr>
          <w:b w:val="0"/>
          <w:bCs/>
          <w:highlight w:val="green"/>
        </w:rPr>
        <w:fldChar w:fldCharType="separate"/>
      </w:r>
      <w:hyperlink w:anchor="_Toc210382757" w:history="1">
        <w:r w:rsidR="00E33553" w:rsidRPr="008F2BE9">
          <w:rPr>
            <w:rStyle w:val="Hyperlink"/>
            <w:noProof/>
          </w:rPr>
          <w:t>Proposal 1</w:t>
        </w:r>
        <w:r w:rsidR="00E33553">
          <w:rPr>
            <w:rFonts w:asciiTheme="minorHAnsi" w:eastAsiaTheme="minorEastAsia" w:hAnsiTheme="minorHAnsi"/>
            <w:b w:val="0"/>
            <w:noProof/>
            <w:kern w:val="2"/>
            <w:sz w:val="24"/>
            <w:szCs w:val="24"/>
            <w:lang w:eastAsia="en-US"/>
            <w14:ligatures w14:val="standardContextual"/>
          </w:rPr>
          <w:tab/>
        </w:r>
        <w:r w:rsidR="00E33553" w:rsidRPr="008F2BE9">
          <w:rPr>
            <w:rStyle w:val="Hyperlink"/>
            <w:noProof/>
          </w:rPr>
          <w:t>RAN4 to reuse core requirement for RRM measurement prediction for indirect event prediction use case.</w:t>
        </w:r>
      </w:hyperlink>
      <w:r w:rsidRPr="00835622">
        <w:rPr>
          <w:b w:val="0"/>
          <w:bCs/>
          <w:highlight w:val="green"/>
        </w:rPr>
        <w:fldChar w:fldCharType="end"/>
      </w:r>
    </w:p>
    <w:p w14:paraId="71D79D99" w14:textId="77777777" w:rsidR="00F507D1" w:rsidRPr="00BA10E0" w:rsidRDefault="00F507D1" w:rsidP="00CE0424">
      <w:pPr>
        <w:pStyle w:val="Heading1"/>
        <w:rPr>
          <w:lang w:val="en-US"/>
        </w:rPr>
      </w:pPr>
      <w:r w:rsidRPr="00BA10E0">
        <w:rPr>
          <w:lang w:val="en-US"/>
        </w:rPr>
        <w:t>References</w:t>
      </w:r>
    </w:p>
    <w:p w14:paraId="715CA09B" w14:textId="0C8FA6F2" w:rsidR="003A7EF3" w:rsidRPr="00BA10E0" w:rsidRDefault="00476BE1" w:rsidP="00876A94">
      <w:pPr>
        <w:pStyle w:val="Reference"/>
      </w:pPr>
      <w:bookmarkStart w:id="3" w:name="_Ref174151459"/>
      <w:bookmarkStart w:id="4" w:name="_Ref189809556"/>
      <w:r w:rsidRPr="00476BE1">
        <w:t>RP-252899</w:t>
      </w:r>
      <w:r>
        <w:t xml:space="preserve">, </w:t>
      </w:r>
      <w:r w:rsidR="00876A94" w:rsidRPr="00876A94">
        <w:t>Revised WI: Artificial Intelligence (AI)/Machine Learning (ML) for mobility in NR</w:t>
      </w:r>
      <w:r w:rsidR="00876A94">
        <w:t>, OPPO, Interdigital.</w:t>
      </w:r>
      <w:bookmarkEnd w:id="3"/>
      <w:bookmarkEnd w:id="4"/>
    </w:p>
    <w:sectPr w:rsidR="003A7EF3" w:rsidRPr="00BA10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F505" w14:textId="77777777" w:rsidR="0051194A" w:rsidRDefault="0051194A">
      <w:r>
        <w:separator/>
      </w:r>
    </w:p>
  </w:endnote>
  <w:endnote w:type="continuationSeparator" w:id="0">
    <w:p w14:paraId="6A3C3613" w14:textId="77777777" w:rsidR="0051194A" w:rsidRDefault="0051194A">
      <w:r>
        <w:continuationSeparator/>
      </w:r>
    </w:p>
  </w:endnote>
  <w:endnote w:type="continuationNotice" w:id="1">
    <w:p w14:paraId="715DF647"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822A" w14:textId="77777777" w:rsidR="0051194A" w:rsidRDefault="0051194A">
      <w:r>
        <w:separator/>
      </w:r>
    </w:p>
  </w:footnote>
  <w:footnote w:type="continuationSeparator" w:id="0">
    <w:p w14:paraId="20821B34" w14:textId="77777777" w:rsidR="0051194A" w:rsidRDefault="0051194A">
      <w:r>
        <w:continuationSeparator/>
      </w:r>
    </w:p>
  </w:footnote>
  <w:footnote w:type="continuationNotice" w:id="1">
    <w:p w14:paraId="3A224999"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2"/>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7"/>
  </w:num>
  <w:num w:numId="16" w16cid:durableId="10954744">
    <w:abstractNumId w:val="24"/>
  </w:num>
  <w:num w:numId="17" w16cid:durableId="183830960">
    <w:abstractNumId w:val="8"/>
  </w:num>
  <w:num w:numId="18" w16cid:durableId="1606114056">
    <w:abstractNumId w:val="10"/>
  </w:num>
  <w:num w:numId="19" w16cid:durableId="2129543684">
    <w:abstractNumId w:val="4"/>
  </w:num>
  <w:num w:numId="20" w16cid:durableId="1458717335">
    <w:abstractNumId w:val="26"/>
  </w:num>
  <w:num w:numId="21" w16cid:durableId="1670518138">
    <w:abstractNumId w:val="14"/>
  </w:num>
  <w:num w:numId="22" w16cid:durableId="350379046">
    <w:abstractNumId w:val="25"/>
  </w:num>
  <w:num w:numId="23" w16cid:durableId="1518496964">
    <w:abstractNumId w:val="28"/>
  </w:num>
  <w:num w:numId="24" w16cid:durableId="1731615383">
    <w:abstractNumId w:val="5"/>
  </w:num>
  <w:num w:numId="25" w16cid:durableId="1753118481">
    <w:abstractNumId w:val="6"/>
  </w:num>
  <w:num w:numId="26" w16cid:durableId="851837186">
    <w:abstractNumId w:val="23"/>
  </w:num>
  <w:num w:numId="27" w16cid:durableId="1195312145">
    <w:abstractNumId w:val="9"/>
  </w:num>
  <w:num w:numId="28" w16cid:durableId="1729303644">
    <w:abstractNumId w:val="7"/>
  </w:num>
  <w:num w:numId="29" w16cid:durableId="376658926">
    <w:abstractNumId w:val="27"/>
  </w:num>
  <w:num w:numId="30" w16cid:durableId="1590263062">
    <w:abstractNumId w:val="20"/>
    <w:lvlOverride w:ilvl="0">
      <w:startOverride w:val="1"/>
    </w:lvlOverride>
  </w:num>
  <w:num w:numId="31" w16cid:durableId="1866167412">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83"/>
    <w:rsid w:val="0000564C"/>
    <w:rsid w:val="00006446"/>
    <w:rsid w:val="00006896"/>
    <w:rsid w:val="00007CDC"/>
    <w:rsid w:val="00007EB2"/>
    <w:rsid w:val="00011B28"/>
    <w:rsid w:val="00015D15"/>
    <w:rsid w:val="00020ADC"/>
    <w:rsid w:val="0002564D"/>
    <w:rsid w:val="00025ECA"/>
    <w:rsid w:val="000325B8"/>
    <w:rsid w:val="00034C15"/>
    <w:rsid w:val="00036BA1"/>
    <w:rsid w:val="000422E2"/>
    <w:rsid w:val="00042F22"/>
    <w:rsid w:val="000444EF"/>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56F2"/>
    <w:rsid w:val="000B2243"/>
    <w:rsid w:val="000B2719"/>
    <w:rsid w:val="000B3A8F"/>
    <w:rsid w:val="000B4AB9"/>
    <w:rsid w:val="000B58C3"/>
    <w:rsid w:val="000B5FC7"/>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13CF4"/>
    <w:rsid w:val="001153EA"/>
    <w:rsid w:val="00115643"/>
    <w:rsid w:val="00116765"/>
    <w:rsid w:val="00116E0A"/>
    <w:rsid w:val="0012189E"/>
    <w:rsid w:val="001219F5"/>
    <w:rsid w:val="00121A20"/>
    <w:rsid w:val="00121CB0"/>
    <w:rsid w:val="0012377F"/>
    <w:rsid w:val="00124004"/>
    <w:rsid w:val="00124314"/>
    <w:rsid w:val="00126B4A"/>
    <w:rsid w:val="00132FD0"/>
    <w:rsid w:val="001344C0"/>
    <w:rsid w:val="001346FA"/>
    <w:rsid w:val="00135252"/>
    <w:rsid w:val="00137AB5"/>
    <w:rsid w:val="00137F0B"/>
    <w:rsid w:val="00142022"/>
    <w:rsid w:val="00151E23"/>
    <w:rsid w:val="001526A0"/>
    <w:rsid w:val="001526E0"/>
    <w:rsid w:val="001551B5"/>
    <w:rsid w:val="00164370"/>
    <w:rsid w:val="001659C1"/>
    <w:rsid w:val="001710B8"/>
    <w:rsid w:val="00173A8E"/>
    <w:rsid w:val="0017502C"/>
    <w:rsid w:val="001804A0"/>
    <w:rsid w:val="0018143F"/>
    <w:rsid w:val="00181699"/>
    <w:rsid w:val="00181FF8"/>
    <w:rsid w:val="0018569D"/>
    <w:rsid w:val="0019006D"/>
    <w:rsid w:val="00190AC1"/>
    <w:rsid w:val="0019341A"/>
    <w:rsid w:val="001947B7"/>
    <w:rsid w:val="00197DF9"/>
    <w:rsid w:val="001A1987"/>
    <w:rsid w:val="001A2564"/>
    <w:rsid w:val="001A6173"/>
    <w:rsid w:val="001A6CBA"/>
    <w:rsid w:val="001B0D97"/>
    <w:rsid w:val="001B5A5D"/>
    <w:rsid w:val="001C0E4D"/>
    <w:rsid w:val="001C1CE5"/>
    <w:rsid w:val="001C3D2A"/>
    <w:rsid w:val="001D51BA"/>
    <w:rsid w:val="001D53E7"/>
    <w:rsid w:val="001D54F0"/>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6C17"/>
    <w:rsid w:val="00207FA3"/>
    <w:rsid w:val="00213AB4"/>
    <w:rsid w:val="00214DA8"/>
    <w:rsid w:val="00215423"/>
    <w:rsid w:val="002158FA"/>
    <w:rsid w:val="00220600"/>
    <w:rsid w:val="002224DB"/>
    <w:rsid w:val="00223FCB"/>
    <w:rsid w:val="002252C3"/>
    <w:rsid w:val="00225C54"/>
    <w:rsid w:val="00226105"/>
    <w:rsid w:val="00230765"/>
    <w:rsid w:val="00230D18"/>
    <w:rsid w:val="002319E4"/>
    <w:rsid w:val="00235632"/>
    <w:rsid w:val="00235872"/>
    <w:rsid w:val="002370CC"/>
    <w:rsid w:val="00241559"/>
    <w:rsid w:val="002435B3"/>
    <w:rsid w:val="002458EB"/>
    <w:rsid w:val="002500C8"/>
    <w:rsid w:val="002515E5"/>
    <w:rsid w:val="00256665"/>
    <w:rsid w:val="00256A40"/>
    <w:rsid w:val="00257543"/>
    <w:rsid w:val="002617E7"/>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E"/>
    <w:rsid w:val="002B24D6"/>
    <w:rsid w:val="002B7F86"/>
    <w:rsid w:val="002C3CC9"/>
    <w:rsid w:val="002C41E6"/>
    <w:rsid w:val="002D071A"/>
    <w:rsid w:val="002D34B2"/>
    <w:rsid w:val="002D48B0"/>
    <w:rsid w:val="002D5B37"/>
    <w:rsid w:val="002D7637"/>
    <w:rsid w:val="002E17F2"/>
    <w:rsid w:val="002E3A56"/>
    <w:rsid w:val="002E6B1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EFD"/>
    <w:rsid w:val="00322C9F"/>
    <w:rsid w:val="00324D23"/>
    <w:rsid w:val="00331751"/>
    <w:rsid w:val="003338AF"/>
    <w:rsid w:val="00334579"/>
    <w:rsid w:val="00335858"/>
    <w:rsid w:val="00336BDA"/>
    <w:rsid w:val="00342BD7"/>
    <w:rsid w:val="0034558C"/>
    <w:rsid w:val="00346DB5"/>
    <w:rsid w:val="0034774D"/>
    <w:rsid w:val="003477B1"/>
    <w:rsid w:val="00357380"/>
    <w:rsid w:val="003602D9"/>
    <w:rsid w:val="003604CE"/>
    <w:rsid w:val="00370E47"/>
    <w:rsid w:val="003742AC"/>
    <w:rsid w:val="00377CE1"/>
    <w:rsid w:val="00385BF0"/>
    <w:rsid w:val="0039313D"/>
    <w:rsid w:val="003939FF"/>
    <w:rsid w:val="003A2223"/>
    <w:rsid w:val="003A2A0F"/>
    <w:rsid w:val="003A45A1"/>
    <w:rsid w:val="003A4DB6"/>
    <w:rsid w:val="003A5B0A"/>
    <w:rsid w:val="003A6BAC"/>
    <w:rsid w:val="003A70A4"/>
    <w:rsid w:val="003A7729"/>
    <w:rsid w:val="003A7EF3"/>
    <w:rsid w:val="003B159C"/>
    <w:rsid w:val="003B369F"/>
    <w:rsid w:val="003B36A3"/>
    <w:rsid w:val="003B3F32"/>
    <w:rsid w:val="003B64BB"/>
    <w:rsid w:val="003B7FE5"/>
    <w:rsid w:val="003C094D"/>
    <w:rsid w:val="003C11C8"/>
    <w:rsid w:val="003C2702"/>
    <w:rsid w:val="003C7806"/>
    <w:rsid w:val="003D109F"/>
    <w:rsid w:val="003D2478"/>
    <w:rsid w:val="003D3C45"/>
    <w:rsid w:val="003D5B1F"/>
    <w:rsid w:val="003E15FA"/>
    <w:rsid w:val="003E45A9"/>
    <w:rsid w:val="003E55E4"/>
    <w:rsid w:val="003E649B"/>
    <w:rsid w:val="003E74E3"/>
    <w:rsid w:val="003F05C7"/>
    <w:rsid w:val="003F2C10"/>
    <w:rsid w:val="003F2CD4"/>
    <w:rsid w:val="003F67CC"/>
    <w:rsid w:val="003F6BBE"/>
    <w:rsid w:val="004000E8"/>
    <w:rsid w:val="00402E2B"/>
    <w:rsid w:val="0040512B"/>
    <w:rsid w:val="00405B5D"/>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6BE1"/>
    <w:rsid w:val="00477768"/>
    <w:rsid w:val="00492BC5"/>
    <w:rsid w:val="004964F1"/>
    <w:rsid w:val="004A16BC"/>
    <w:rsid w:val="004A2B94"/>
    <w:rsid w:val="004A308D"/>
    <w:rsid w:val="004B350E"/>
    <w:rsid w:val="004B377B"/>
    <w:rsid w:val="004B6F6A"/>
    <w:rsid w:val="004B7C0C"/>
    <w:rsid w:val="004C1898"/>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557"/>
    <w:rsid w:val="0050677A"/>
    <w:rsid w:val="005108D8"/>
    <w:rsid w:val="005116F9"/>
    <w:rsid w:val="0051194A"/>
    <w:rsid w:val="00511EC6"/>
    <w:rsid w:val="005153A7"/>
    <w:rsid w:val="005219CF"/>
    <w:rsid w:val="005221E9"/>
    <w:rsid w:val="0053357D"/>
    <w:rsid w:val="00534A85"/>
    <w:rsid w:val="00534B59"/>
    <w:rsid w:val="0053541D"/>
    <w:rsid w:val="00536759"/>
    <w:rsid w:val="00537C62"/>
    <w:rsid w:val="00540EF4"/>
    <w:rsid w:val="00546970"/>
    <w:rsid w:val="00554E19"/>
    <w:rsid w:val="005550D2"/>
    <w:rsid w:val="0056121F"/>
    <w:rsid w:val="00562324"/>
    <w:rsid w:val="00564C49"/>
    <w:rsid w:val="00572505"/>
    <w:rsid w:val="00582809"/>
    <w:rsid w:val="0058798C"/>
    <w:rsid w:val="005900F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BCB"/>
    <w:rsid w:val="005D2CE1"/>
    <w:rsid w:val="005E2D6D"/>
    <w:rsid w:val="005E385F"/>
    <w:rsid w:val="005E5B81"/>
    <w:rsid w:val="005F0F7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6A92"/>
    <w:rsid w:val="00656D0D"/>
    <w:rsid w:val="00656DDE"/>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5FC2"/>
    <w:rsid w:val="00696949"/>
    <w:rsid w:val="00697052"/>
    <w:rsid w:val="006A46FB"/>
    <w:rsid w:val="006A5E28"/>
    <w:rsid w:val="006A697B"/>
    <w:rsid w:val="006A7AFF"/>
    <w:rsid w:val="006B1816"/>
    <w:rsid w:val="006B2099"/>
    <w:rsid w:val="006B50CF"/>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C5C"/>
    <w:rsid w:val="00715B9A"/>
    <w:rsid w:val="00717180"/>
    <w:rsid w:val="00721B32"/>
    <w:rsid w:val="007257D0"/>
    <w:rsid w:val="00726EA6"/>
    <w:rsid w:val="00727208"/>
    <w:rsid w:val="00727680"/>
    <w:rsid w:val="007347F1"/>
    <w:rsid w:val="007348B1"/>
    <w:rsid w:val="007362A6"/>
    <w:rsid w:val="00736D7D"/>
    <w:rsid w:val="00740E58"/>
    <w:rsid w:val="007445A0"/>
    <w:rsid w:val="0074524B"/>
    <w:rsid w:val="00747D8B"/>
    <w:rsid w:val="00751228"/>
    <w:rsid w:val="007571E1"/>
    <w:rsid w:val="007604B2"/>
    <w:rsid w:val="00764610"/>
    <w:rsid w:val="00765281"/>
    <w:rsid w:val="00766BAD"/>
    <w:rsid w:val="00767BE7"/>
    <w:rsid w:val="007729A2"/>
    <w:rsid w:val="007755F2"/>
    <w:rsid w:val="00776971"/>
    <w:rsid w:val="00776D01"/>
    <w:rsid w:val="00780A80"/>
    <w:rsid w:val="0078177E"/>
    <w:rsid w:val="0078304C"/>
    <w:rsid w:val="00783673"/>
    <w:rsid w:val="00785490"/>
    <w:rsid w:val="007925EA"/>
    <w:rsid w:val="00793CD8"/>
    <w:rsid w:val="00794552"/>
    <w:rsid w:val="00795C92"/>
    <w:rsid w:val="00796231"/>
    <w:rsid w:val="00797173"/>
    <w:rsid w:val="007A1228"/>
    <w:rsid w:val="007A1CB3"/>
    <w:rsid w:val="007A306F"/>
    <w:rsid w:val="007A43A6"/>
    <w:rsid w:val="007A44B6"/>
    <w:rsid w:val="007A57F7"/>
    <w:rsid w:val="007A58A6"/>
    <w:rsid w:val="007B23C8"/>
    <w:rsid w:val="007B3D2D"/>
    <w:rsid w:val="007B50AE"/>
    <w:rsid w:val="007B51DF"/>
    <w:rsid w:val="007C05DD"/>
    <w:rsid w:val="007C3D18"/>
    <w:rsid w:val="007C60BF"/>
    <w:rsid w:val="007C6A07"/>
    <w:rsid w:val="007C70BB"/>
    <w:rsid w:val="007C7373"/>
    <w:rsid w:val="007C75A1"/>
    <w:rsid w:val="007C77A5"/>
    <w:rsid w:val="007D04E5"/>
    <w:rsid w:val="007D5901"/>
    <w:rsid w:val="007D7526"/>
    <w:rsid w:val="007E4610"/>
    <w:rsid w:val="007E4715"/>
    <w:rsid w:val="007E505B"/>
    <w:rsid w:val="007E5DFA"/>
    <w:rsid w:val="007E7091"/>
    <w:rsid w:val="007F2739"/>
    <w:rsid w:val="00803FAE"/>
    <w:rsid w:val="0080605F"/>
    <w:rsid w:val="00807786"/>
    <w:rsid w:val="00811FCB"/>
    <w:rsid w:val="008158D6"/>
    <w:rsid w:val="00817196"/>
    <w:rsid w:val="008235DB"/>
    <w:rsid w:val="00824AB4"/>
    <w:rsid w:val="00825C42"/>
    <w:rsid w:val="00825D25"/>
    <w:rsid w:val="00827D6F"/>
    <w:rsid w:val="00835622"/>
    <w:rsid w:val="00836960"/>
    <w:rsid w:val="008376AC"/>
    <w:rsid w:val="008444E8"/>
    <w:rsid w:val="00844E80"/>
    <w:rsid w:val="00846FE7"/>
    <w:rsid w:val="00856911"/>
    <w:rsid w:val="00863DB0"/>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1C4E"/>
    <w:rsid w:val="008F1EAB"/>
    <w:rsid w:val="008F31A7"/>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45E8"/>
    <w:rsid w:val="00945C05"/>
    <w:rsid w:val="00946945"/>
    <w:rsid w:val="00947713"/>
    <w:rsid w:val="00950958"/>
    <w:rsid w:val="00950DE7"/>
    <w:rsid w:val="00953920"/>
    <w:rsid w:val="00953D47"/>
    <w:rsid w:val="0095681E"/>
    <w:rsid w:val="009572D4"/>
    <w:rsid w:val="00961921"/>
    <w:rsid w:val="00963B93"/>
    <w:rsid w:val="0096430A"/>
    <w:rsid w:val="0096554B"/>
    <w:rsid w:val="0096584A"/>
    <w:rsid w:val="00971F08"/>
    <w:rsid w:val="0097603D"/>
    <w:rsid w:val="00976949"/>
    <w:rsid w:val="00980477"/>
    <w:rsid w:val="00981F0E"/>
    <w:rsid w:val="00984188"/>
    <w:rsid w:val="00985253"/>
    <w:rsid w:val="009853B3"/>
    <w:rsid w:val="009864FA"/>
    <w:rsid w:val="00990630"/>
    <w:rsid w:val="00991761"/>
    <w:rsid w:val="00994C12"/>
    <w:rsid w:val="00994DCA"/>
    <w:rsid w:val="009960EC"/>
    <w:rsid w:val="009970DD"/>
    <w:rsid w:val="009A0EC8"/>
    <w:rsid w:val="009A0FBA"/>
    <w:rsid w:val="009A1601"/>
    <w:rsid w:val="009A3970"/>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2476"/>
    <w:rsid w:val="00A131BF"/>
    <w:rsid w:val="00A13E54"/>
    <w:rsid w:val="00A17F63"/>
    <w:rsid w:val="00A2193B"/>
    <w:rsid w:val="00A22E64"/>
    <w:rsid w:val="00A2351A"/>
    <w:rsid w:val="00A250A6"/>
    <w:rsid w:val="00A264A9"/>
    <w:rsid w:val="00A26DCF"/>
    <w:rsid w:val="00A27785"/>
    <w:rsid w:val="00A30187"/>
    <w:rsid w:val="00A3448A"/>
    <w:rsid w:val="00A36297"/>
    <w:rsid w:val="00A41E2B"/>
    <w:rsid w:val="00A435AC"/>
    <w:rsid w:val="00A45B74"/>
    <w:rsid w:val="00A52E1D"/>
    <w:rsid w:val="00A61499"/>
    <w:rsid w:val="00A62A77"/>
    <w:rsid w:val="00A63483"/>
    <w:rsid w:val="00A657D7"/>
    <w:rsid w:val="00A660AC"/>
    <w:rsid w:val="00A67E6C"/>
    <w:rsid w:val="00A71B99"/>
    <w:rsid w:val="00A72DDB"/>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D37"/>
    <w:rsid w:val="00AC2ECD"/>
    <w:rsid w:val="00AC3119"/>
    <w:rsid w:val="00AC49FB"/>
    <w:rsid w:val="00AC5A10"/>
    <w:rsid w:val="00AD0AA3"/>
    <w:rsid w:val="00AD2ED0"/>
    <w:rsid w:val="00AD3F94"/>
    <w:rsid w:val="00AD4A5A"/>
    <w:rsid w:val="00AD7FDE"/>
    <w:rsid w:val="00AE27AC"/>
    <w:rsid w:val="00AE40E0"/>
    <w:rsid w:val="00AE4C22"/>
    <w:rsid w:val="00AE4DBA"/>
    <w:rsid w:val="00AE4F07"/>
    <w:rsid w:val="00AE7D76"/>
    <w:rsid w:val="00AF1C5D"/>
    <w:rsid w:val="00AF42D7"/>
    <w:rsid w:val="00AF5B2C"/>
    <w:rsid w:val="00B006FE"/>
    <w:rsid w:val="00B007CB"/>
    <w:rsid w:val="00B00A39"/>
    <w:rsid w:val="00B02AA9"/>
    <w:rsid w:val="00B02FA3"/>
    <w:rsid w:val="00B05084"/>
    <w:rsid w:val="00B05F18"/>
    <w:rsid w:val="00B103D6"/>
    <w:rsid w:val="00B157F9"/>
    <w:rsid w:val="00B1662D"/>
    <w:rsid w:val="00B16647"/>
    <w:rsid w:val="00B20256"/>
    <w:rsid w:val="00B20D09"/>
    <w:rsid w:val="00B20E5B"/>
    <w:rsid w:val="00B26489"/>
    <w:rsid w:val="00B27262"/>
    <w:rsid w:val="00B2757F"/>
    <w:rsid w:val="00B2763F"/>
    <w:rsid w:val="00B27AAC"/>
    <w:rsid w:val="00B30929"/>
    <w:rsid w:val="00B30D36"/>
    <w:rsid w:val="00B372AA"/>
    <w:rsid w:val="00B37914"/>
    <w:rsid w:val="00B40445"/>
    <w:rsid w:val="00B409E0"/>
    <w:rsid w:val="00B41888"/>
    <w:rsid w:val="00B42CE3"/>
    <w:rsid w:val="00B45424"/>
    <w:rsid w:val="00B45A52"/>
    <w:rsid w:val="00B46175"/>
    <w:rsid w:val="00B548B7"/>
    <w:rsid w:val="00B664C7"/>
    <w:rsid w:val="00B70C32"/>
    <w:rsid w:val="00B70C6F"/>
    <w:rsid w:val="00B713D8"/>
    <w:rsid w:val="00B739F6"/>
    <w:rsid w:val="00B74F9D"/>
    <w:rsid w:val="00B778D9"/>
    <w:rsid w:val="00B81A6C"/>
    <w:rsid w:val="00B85DE5"/>
    <w:rsid w:val="00B90F73"/>
    <w:rsid w:val="00B93B59"/>
    <w:rsid w:val="00B9406A"/>
    <w:rsid w:val="00BA10E0"/>
    <w:rsid w:val="00BA2280"/>
    <w:rsid w:val="00BA2A08"/>
    <w:rsid w:val="00BA5569"/>
    <w:rsid w:val="00BA56D2"/>
    <w:rsid w:val="00BA706A"/>
    <w:rsid w:val="00BA76E0"/>
    <w:rsid w:val="00BB2A25"/>
    <w:rsid w:val="00BB3CA6"/>
    <w:rsid w:val="00BB51E9"/>
    <w:rsid w:val="00BC0FDC"/>
    <w:rsid w:val="00BC3053"/>
    <w:rsid w:val="00BC4D2E"/>
    <w:rsid w:val="00BC7093"/>
    <w:rsid w:val="00BD48AC"/>
    <w:rsid w:val="00BD5F1A"/>
    <w:rsid w:val="00BE1234"/>
    <w:rsid w:val="00BE2FA6"/>
    <w:rsid w:val="00BE333F"/>
    <w:rsid w:val="00BE4151"/>
    <w:rsid w:val="00BE7406"/>
    <w:rsid w:val="00BE7603"/>
    <w:rsid w:val="00BF3279"/>
    <w:rsid w:val="00BF3A67"/>
    <w:rsid w:val="00BF644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68"/>
    <w:rsid w:val="00C64672"/>
    <w:rsid w:val="00C70697"/>
    <w:rsid w:val="00C72093"/>
    <w:rsid w:val="00C72EF4"/>
    <w:rsid w:val="00C744FE"/>
    <w:rsid w:val="00C75D2F"/>
    <w:rsid w:val="00C767BE"/>
    <w:rsid w:val="00C76E3C"/>
    <w:rsid w:val="00C811D8"/>
    <w:rsid w:val="00C81568"/>
    <w:rsid w:val="00C9027A"/>
    <w:rsid w:val="00C9068E"/>
    <w:rsid w:val="00C91660"/>
    <w:rsid w:val="00C93814"/>
    <w:rsid w:val="00C93C4B"/>
    <w:rsid w:val="00C944AB"/>
    <w:rsid w:val="00C95B40"/>
    <w:rsid w:val="00CA1ED8"/>
    <w:rsid w:val="00CA31DE"/>
    <w:rsid w:val="00CB1F63"/>
    <w:rsid w:val="00CB7170"/>
    <w:rsid w:val="00CC040E"/>
    <w:rsid w:val="00CC111F"/>
    <w:rsid w:val="00CC2011"/>
    <w:rsid w:val="00CC3EA0"/>
    <w:rsid w:val="00CC41A3"/>
    <w:rsid w:val="00CC7B45"/>
    <w:rsid w:val="00CD1188"/>
    <w:rsid w:val="00CD2ED1"/>
    <w:rsid w:val="00CD337B"/>
    <w:rsid w:val="00CD5B8F"/>
    <w:rsid w:val="00CE0424"/>
    <w:rsid w:val="00CE7561"/>
    <w:rsid w:val="00CF1354"/>
    <w:rsid w:val="00CF3B1F"/>
    <w:rsid w:val="00CF3BF6"/>
    <w:rsid w:val="00CF625B"/>
    <w:rsid w:val="00CF687E"/>
    <w:rsid w:val="00CF6CC1"/>
    <w:rsid w:val="00D0349B"/>
    <w:rsid w:val="00D10249"/>
    <w:rsid w:val="00D115C3"/>
    <w:rsid w:val="00D11897"/>
    <w:rsid w:val="00D13135"/>
    <w:rsid w:val="00D13E4E"/>
    <w:rsid w:val="00D17C5D"/>
    <w:rsid w:val="00D23137"/>
    <w:rsid w:val="00D23814"/>
    <w:rsid w:val="00D239A7"/>
    <w:rsid w:val="00D23F47"/>
    <w:rsid w:val="00D26BA9"/>
    <w:rsid w:val="00D36E71"/>
    <w:rsid w:val="00D37D87"/>
    <w:rsid w:val="00D40B33"/>
    <w:rsid w:val="00D4318F"/>
    <w:rsid w:val="00D4328F"/>
    <w:rsid w:val="00D438BF"/>
    <w:rsid w:val="00D440F8"/>
    <w:rsid w:val="00D500DA"/>
    <w:rsid w:val="00D546FF"/>
    <w:rsid w:val="00D55AD5"/>
    <w:rsid w:val="00D5769B"/>
    <w:rsid w:val="00D576CA"/>
    <w:rsid w:val="00D60180"/>
    <w:rsid w:val="00D61AF5"/>
    <w:rsid w:val="00D652B5"/>
    <w:rsid w:val="00D66155"/>
    <w:rsid w:val="00D708B0"/>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377D"/>
    <w:rsid w:val="00DC2D36"/>
    <w:rsid w:val="00DC53EF"/>
    <w:rsid w:val="00DD3CF1"/>
    <w:rsid w:val="00DE1A81"/>
    <w:rsid w:val="00DE5608"/>
    <w:rsid w:val="00DE58D0"/>
    <w:rsid w:val="00DE5C25"/>
    <w:rsid w:val="00DE654F"/>
    <w:rsid w:val="00DF01E6"/>
    <w:rsid w:val="00DF0B6E"/>
    <w:rsid w:val="00DF15E0"/>
    <w:rsid w:val="00DF37A0"/>
    <w:rsid w:val="00DF489F"/>
    <w:rsid w:val="00E04386"/>
    <w:rsid w:val="00E110E7"/>
    <w:rsid w:val="00E11B20"/>
    <w:rsid w:val="00E11F9D"/>
    <w:rsid w:val="00E12512"/>
    <w:rsid w:val="00E17FA2"/>
    <w:rsid w:val="00E22330"/>
    <w:rsid w:val="00E258D5"/>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3B75"/>
    <w:rsid w:val="00E54E3B"/>
    <w:rsid w:val="00E57565"/>
    <w:rsid w:val="00E63838"/>
    <w:rsid w:val="00E64434"/>
    <w:rsid w:val="00E67C51"/>
    <w:rsid w:val="00E727B4"/>
    <w:rsid w:val="00E72EFC"/>
    <w:rsid w:val="00E74F44"/>
    <w:rsid w:val="00E758EC"/>
    <w:rsid w:val="00E8234C"/>
    <w:rsid w:val="00E83AA9"/>
    <w:rsid w:val="00E85928"/>
    <w:rsid w:val="00E87822"/>
    <w:rsid w:val="00E90395"/>
    <w:rsid w:val="00E90E49"/>
    <w:rsid w:val="00E917F9"/>
    <w:rsid w:val="00E9291C"/>
    <w:rsid w:val="00E93FFE"/>
    <w:rsid w:val="00E94F8A"/>
    <w:rsid w:val="00EA7A41"/>
    <w:rsid w:val="00EA7F84"/>
    <w:rsid w:val="00EB077B"/>
    <w:rsid w:val="00EB4EA2"/>
    <w:rsid w:val="00EC24D5"/>
    <w:rsid w:val="00EC27C6"/>
    <w:rsid w:val="00EC4207"/>
    <w:rsid w:val="00EC5653"/>
    <w:rsid w:val="00EC71CE"/>
    <w:rsid w:val="00ED1006"/>
    <w:rsid w:val="00ED1EDB"/>
    <w:rsid w:val="00EE47FB"/>
    <w:rsid w:val="00EF18FE"/>
    <w:rsid w:val="00EF4361"/>
    <w:rsid w:val="00EF5787"/>
    <w:rsid w:val="00EF60D0"/>
    <w:rsid w:val="00F03815"/>
    <w:rsid w:val="00F0528D"/>
    <w:rsid w:val="00F05BC9"/>
    <w:rsid w:val="00F06C67"/>
    <w:rsid w:val="00F06DFD"/>
    <w:rsid w:val="00F071D1"/>
    <w:rsid w:val="00F07533"/>
    <w:rsid w:val="00F079E5"/>
    <w:rsid w:val="00F10629"/>
    <w:rsid w:val="00F15BBA"/>
    <w:rsid w:val="00F15FA5"/>
    <w:rsid w:val="00F177B7"/>
    <w:rsid w:val="00F209B7"/>
    <w:rsid w:val="00F2376F"/>
    <w:rsid w:val="00F243D8"/>
    <w:rsid w:val="00F30828"/>
    <w:rsid w:val="00F313D6"/>
    <w:rsid w:val="00F37797"/>
    <w:rsid w:val="00F40F0C"/>
    <w:rsid w:val="00F4766C"/>
    <w:rsid w:val="00F5060E"/>
    <w:rsid w:val="00F507D1"/>
    <w:rsid w:val="00F519CE"/>
    <w:rsid w:val="00F51ADA"/>
    <w:rsid w:val="00F60203"/>
    <w:rsid w:val="00F607C5"/>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7429"/>
    <w:rsid w:val="00FD07F6"/>
    <w:rsid w:val="00FD1EC8"/>
    <w:rsid w:val="00FD37E8"/>
    <w:rsid w:val="00FD47ED"/>
    <w:rsid w:val="00FD74DB"/>
    <w:rsid w:val="00FD7660"/>
    <w:rsid w:val="00FE0337"/>
    <w:rsid w:val="00FE0655"/>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D40F6-8191-4B34-A581-C4BF343F7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214</TotalTime>
  <Pages>2</Pages>
  <Words>572</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3849</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152</cp:revision>
  <cp:lastPrinted>2008-02-01T19:09:00Z</cp:lastPrinted>
  <dcterms:created xsi:type="dcterms:W3CDTF">2025-09-29T16:11:00Z</dcterms:created>
  <dcterms:modified xsi:type="dcterms:W3CDTF">2025-10-03T13:56:00Z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